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00" w:rsidRPr="007E0600" w:rsidRDefault="007B05B2" w:rsidP="007E0600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  <w:bookmarkStart w:id="0" w:name="_GoBack"/>
      <w:bookmarkEnd w:id="0"/>
      <w:r w:rsidRPr="007B05B2">
        <w:rPr>
          <w:rFonts w:ascii="Arial" w:eastAsia="Times New Roman" w:hAnsi="Arial" w:cs="Arial"/>
          <w:b/>
          <w:bCs/>
          <w:kern w:val="36"/>
          <w:lang w:val="en" w:eastAsia="en-GB"/>
        </w:rPr>
        <w:t>Disclosure and Barring Service (DBS) checks</w:t>
      </w:r>
    </w:p>
    <w:p w:rsidR="007B05B2" w:rsidRPr="007B05B2" w:rsidRDefault="007B05B2" w:rsidP="007E0600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kern w:val="36"/>
          <w:lang w:val="en" w:eastAsia="en-GB"/>
        </w:rPr>
        <w:t>Documents the applicant must provide</w:t>
      </w:r>
    </w:p>
    <w:p w:rsidR="007B05B2" w:rsidRPr="007B05B2" w:rsidRDefault="007B05B2" w:rsidP="007B05B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The Criminal Records Bureau (CRB) and the Independent Safeguarding Authority (ISA) have merged into the Disclosure and Barring Service (DBS). CRB checks are now called DBS checks.</w:t>
      </w:r>
    </w:p>
    <w:p w:rsidR="007B05B2" w:rsidRPr="007B05B2" w:rsidRDefault="007B05B2" w:rsidP="007B05B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The person going through a DBS check (the applicant) must give their employer original documents (not copies) to prove their identity. </w:t>
      </w:r>
    </w:p>
    <w:p w:rsidR="007B05B2" w:rsidRPr="007B05B2" w:rsidRDefault="007B05B2" w:rsidP="007B05B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The documents needed will depend on the route the application takes. The applicant must try to provide documents from Route 1 first.</w:t>
      </w:r>
    </w:p>
    <w:p w:rsidR="007B05B2" w:rsidRPr="007B05B2" w:rsidRDefault="007B05B2" w:rsidP="007E0600">
      <w:pPr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Route 1</w:t>
      </w:r>
    </w:p>
    <w:p w:rsidR="007B05B2" w:rsidRP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The applicant must be able to show:</w:t>
      </w:r>
    </w:p>
    <w:p w:rsidR="007E0600" w:rsidRDefault="007B05B2" w:rsidP="007E0600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1 document from Group 1</w:t>
      </w:r>
    </w:p>
    <w:p w:rsidR="007B05B2" w:rsidRPr="007B05B2" w:rsidRDefault="007B05B2" w:rsidP="007E0600">
      <w:pPr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2 further documents from eit</w:t>
      </w:r>
      <w:r w:rsidR="007E0600">
        <w:rPr>
          <w:rFonts w:ascii="Arial" w:eastAsia="Times New Roman" w:hAnsi="Arial" w:cs="Arial"/>
          <w:sz w:val="20"/>
          <w:szCs w:val="20"/>
          <w:lang w:val="en" w:eastAsia="en-GB"/>
        </w:rPr>
        <w:t>her Group 1, or Group 2a or 2b</w:t>
      </w:r>
    </w:p>
    <w:p w:rsid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At least 1 of the documents must show the applicant’s current address.</w:t>
      </w:r>
    </w:p>
    <w:p w:rsidR="007E0600" w:rsidRPr="007B05B2" w:rsidRDefault="007E0600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7B05B2" w:rsidRPr="007B05B2" w:rsidRDefault="007B05B2" w:rsidP="007E0600">
      <w:pPr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Route 2</w:t>
      </w:r>
    </w:p>
    <w:p w:rsidR="007B05B2" w:rsidRP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If the applicant doesn’t have any of the documents in Group 1, then they must be able to show:</w:t>
      </w:r>
    </w:p>
    <w:p w:rsidR="007B05B2" w:rsidRPr="007B05B2" w:rsidRDefault="007B05B2" w:rsidP="007E060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1 document from Group 2a</w:t>
      </w:r>
    </w:p>
    <w:p w:rsidR="007B05B2" w:rsidRPr="007B05B2" w:rsidRDefault="007B05B2" w:rsidP="007E0600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2 further documents from either Group 2a or 2b</w:t>
      </w:r>
    </w:p>
    <w:p w:rsid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At least one of the documents must show the applicant’s current address. The </w:t>
      </w:r>
      <w:proofErr w:type="spellStart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organisation</w:t>
      </w:r>
      <w:proofErr w:type="spellEnd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 conducting their ID check must then also use an appropriate external ID validation service to check the application.</w:t>
      </w:r>
    </w:p>
    <w:p w:rsidR="007E0600" w:rsidRPr="007B05B2" w:rsidRDefault="007E0600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7B05B2" w:rsidRPr="007B05B2" w:rsidRDefault="007B05B2" w:rsidP="007E0600">
      <w:pPr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Route 3</w:t>
      </w:r>
    </w:p>
    <w:p w:rsidR="007B05B2" w:rsidRP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Route 3 can only be used if it’s impossible to process the application through Routes 1 or 2.</w:t>
      </w:r>
    </w:p>
    <w:p w:rsidR="007B05B2" w:rsidRP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For Route 3, the applicant must be able to show: </w:t>
      </w:r>
    </w:p>
    <w:p w:rsidR="007B05B2" w:rsidRPr="007B05B2" w:rsidRDefault="007B05B2" w:rsidP="007E060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a birth certificate issued after the time of birth (UK and Channel Islands)</w:t>
      </w:r>
    </w:p>
    <w:p w:rsidR="007B05B2" w:rsidRPr="007B05B2" w:rsidRDefault="007B05B2" w:rsidP="007E060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1 document from Group 2a</w:t>
      </w:r>
    </w:p>
    <w:p w:rsidR="007B05B2" w:rsidRPr="007B05B2" w:rsidRDefault="007B05B2" w:rsidP="007E0600">
      <w:pPr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3 further documents from Group 2a or 2b</w:t>
      </w:r>
    </w:p>
    <w:p w:rsidR="007B05B2" w:rsidRDefault="007B05B2" w:rsidP="007E060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At least one of the documents must show the applicant’s current address. If the applicant can’t provide these </w:t>
      </w:r>
      <w:proofErr w:type="gramStart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documents</w:t>
      </w:r>
      <w:proofErr w:type="gramEnd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 they may need to be fingerprinted. </w:t>
      </w:r>
    </w:p>
    <w:p w:rsidR="007B05B2" w:rsidRPr="007B05B2" w:rsidRDefault="007B05B2" w:rsidP="007E0600">
      <w:pPr>
        <w:spacing w:before="100" w:before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Group 1: Primary identity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6998"/>
      </w:tblGrid>
      <w:tr w:rsidR="007B05B2" w:rsidRPr="007B05B2" w:rsidTr="007B05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Notes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Passport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Any current and valid passport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Biometric residence permit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Current driving licence –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photocard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B05B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with</w:t>
            </w: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paper counterpart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UK, Isle of Man, Channel Islands and EU (full or provisional)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Birth certificate - </w:t>
            </w:r>
            <w:r w:rsidRPr="007B05B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issued at time of birth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UK and Channel Islands – including those issued by UK authorities overseas,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embassies, High Commissions and HM Forces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Adoption certificate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</w:tr>
    </w:tbl>
    <w:p w:rsidR="007B05B2" w:rsidRPr="007B05B2" w:rsidRDefault="007B05B2" w:rsidP="007E0600">
      <w:pPr>
        <w:spacing w:before="100" w:before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Group 2a: Trusted government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3"/>
        <w:gridCol w:w="3863"/>
      </w:tblGrid>
      <w:tr w:rsidR="007B05B2" w:rsidRPr="007B05B2" w:rsidTr="007B05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Notes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Current driving licence –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photocard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(if you were issued a paper counterpart but don’t give it to your checker)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countries (full or provisional)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driving licence – paper version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UK, Isle of Man, Channel Islands and EU (full or provisional)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Birth certificate – issued after time of birth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Marriage/civil partnership certificate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HM Forces ID card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Firearms licence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UK, Channel Islands and Isle of Man</w:t>
            </w:r>
          </w:p>
        </w:tc>
      </w:tr>
    </w:tbl>
    <w:p w:rsidR="007B05B2" w:rsidRDefault="007B05B2" w:rsidP="007B05B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All driving </w:t>
      </w:r>
      <w:proofErr w:type="spellStart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licences</w:t>
      </w:r>
      <w:proofErr w:type="spellEnd"/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 xml:space="preserve"> must be </w:t>
      </w:r>
      <w:hyperlink r:id="rId5" w:history="1">
        <w:r w:rsidRPr="007B05B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" w:eastAsia="en-GB"/>
          </w:rPr>
          <w:t>valid</w:t>
        </w:r>
      </w:hyperlink>
      <w:r w:rsidRPr="007B05B2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:rsidR="007E0600" w:rsidRPr="007B05B2" w:rsidRDefault="007E0600" w:rsidP="007B05B2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7B05B2" w:rsidRPr="007B05B2" w:rsidRDefault="007B05B2" w:rsidP="007E0600">
      <w:pPr>
        <w:spacing w:before="100" w:before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7B05B2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lastRenderedPageBreak/>
        <w:t>Group 2b: Financial and social history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4"/>
        <w:gridCol w:w="4097"/>
        <w:gridCol w:w="1185"/>
      </w:tblGrid>
      <w:tr w:rsidR="007B05B2" w:rsidRPr="007B05B2" w:rsidTr="007B05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E06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E06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E060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Issue date and validity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Mortgage statement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UK or EEA 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or building society statement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UK and Channel Islands or EEA 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or building society account opening confirmation letter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Credit card statement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UK or EEA 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Financial statement,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pension or endowment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P45 or P60 statement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 Tax statement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permit or visa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Valid up to expiry date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of sponsorship from future employment provider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Non-UK or non-EEA only - valid only for applicants residing outside of the UK at time of application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Must still be valid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Utility bill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– not mobile telephone bill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Benefit statement,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Child Benefit, Pension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Central or local government, government agency, or local council document giving entitlement, </w:t>
            </w:r>
            <w:proofErr w:type="spellStart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from the Department for Work and Pensions, the Employment Service, HMRC 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 National ID card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Must still be valid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Cards carrying the PASS accreditation logo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and Channel Islands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Must still be valid</w:t>
            </w:r>
          </w:p>
        </w:tc>
      </w:tr>
      <w:tr w:rsidR="007B05B2" w:rsidRPr="007B05B2" w:rsidTr="007B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from head teacher or college principal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 - for 16 to 19 year olds in full time education - only used in exceptional circumstances if other documents cannot be provided</w:t>
            </w:r>
          </w:p>
        </w:tc>
        <w:tc>
          <w:tcPr>
            <w:tcW w:w="0" w:type="auto"/>
            <w:vAlign w:val="center"/>
            <w:hideMark/>
          </w:tcPr>
          <w:p w:rsidR="007B05B2" w:rsidRPr="007B05B2" w:rsidRDefault="007B05B2" w:rsidP="007B05B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05B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Must still be valid</w:t>
            </w:r>
          </w:p>
        </w:tc>
      </w:tr>
    </w:tbl>
    <w:p w:rsidR="004774F6" w:rsidRPr="007B05B2" w:rsidRDefault="004774F6">
      <w:pPr>
        <w:rPr>
          <w:rFonts w:ascii="Arial" w:hAnsi="Arial" w:cs="Arial"/>
          <w:sz w:val="20"/>
          <w:szCs w:val="20"/>
        </w:rPr>
      </w:pPr>
    </w:p>
    <w:sectPr w:rsidR="004774F6" w:rsidRPr="007B05B2" w:rsidSect="007E0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2E9"/>
    <w:multiLevelType w:val="multilevel"/>
    <w:tmpl w:val="DD1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E1FFB"/>
    <w:multiLevelType w:val="multilevel"/>
    <w:tmpl w:val="28C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B632A"/>
    <w:multiLevelType w:val="multilevel"/>
    <w:tmpl w:val="424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849EC"/>
    <w:multiLevelType w:val="multilevel"/>
    <w:tmpl w:val="38428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A5122"/>
    <w:multiLevelType w:val="multilevel"/>
    <w:tmpl w:val="BD8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2"/>
    <w:rsid w:val="004774F6"/>
    <w:rsid w:val="00526073"/>
    <w:rsid w:val="006E43F1"/>
    <w:rsid w:val="007B05B2"/>
    <w:rsid w:val="007E0600"/>
    <w:rsid w:val="00B41B84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1235"/>
  <w15:docId w15:val="{46060ED9-D151-4871-9A23-5A7544BA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driving-nongb-licenc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89F46163C92458A74EDA55B02A047" ma:contentTypeVersion="18" ma:contentTypeDescription="Create a new document." ma:contentTypeScope="" ma:versionID="e4be84cf6dc18a6db7c51cfee5cf40ba">
  <xsd:schema xmlns:xsd="http://www.w3.org/2001/XMLSchema" xmlns:xs="http://www.w3.org/2001/XMLSchema" xmlns:p="http://schemas.microsoft.com/office/2006/metadata/properties" xmlns:ns2="eedf8c20-0664-4e00-94dc-334c946a2c8b" xmlns:ns3="10d6137c-57c1-47d9-93b7-4e9880b30734" targetNamespace="http://schemas.microsoft.com/office/2006/metadata/properties" ma:root="true" ma:fieldsID="2eb8902aa43205d2ef59b6b0d3bb88be" ns2:_="" ns3:_="">
    <xsd:import namespace="eedf8c20-0664-4e00-94dc-334c946a2c8b"/>
    <xsd:import namespace="10d6137c-57c1-47d9-93b7-4e9880b3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f8c20-0664-4e00-94dc-334c946a2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8f7114-a388-4274-9dc0-d567a85e4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137c-57c1-47d9-93b7-4e9880b3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83a24-7f39-470f-b548-e3a1f715b1f2}" ma:internalName="TaxCatchAll" ma:showField="CatchAllData" ma:web="10d6137c-57c1-47d9-93b7-4e9880b3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f8c20-0664-4e00-94dc-334c946a2c8b">
      <Terms xmlns="http://schemas.microsoft.com/office/infopath/2007/PartnerControls"/>
    </lcf76f155ced4ddcb4097134ff3c332f>
    <TaxCatchAll xmlns="10d6137c-57c1-47d9-93b7-4e9880b30734" xsi:nil="true"/>
  </documentManagement>
</p:properties>
</file>

<file path=customXml/itemProps1.xml><?xml version="1.0" encoding="utf-8"?>
<ds:datastoreItem xmlns:ds="http://schemas.openxmlformats.org/officeDocument/2006/customXml" ds:itemID="{1196147D-1BE2-4BF1-BCE2-090F9063A72F}"/>
</file>

<file path=customXml/itemProps2.xml><?xml version="1.0" encoding="utf-8"?>
<ds:datastoreItem xmlns:ds="http://schemas.openxmlformats.org/officeDocument/2006/customXml" ds:itemID="{8CE8CD12-3F07-435D-A657-A2AAEF55609F}"/>
</file>

<file path=customXml/itemProps3.xml><?xml version="1.0" encoding="utf-8"?>
<ds:datastoreItem xmlns:ds="http://schemas.openxmlformats.org/officeDocument/2006/customXml" ds:itemID="{D915614D-B76C-47BF-91DC-FF861224FDAC}"/>
</file>

<file path=docProps/app.xml><?xml version="1.0" encoding="utf-8"?>
<Properties xmlns="http://schemas.openxmlformats.org/officeDocument/2006/extended-properties" xmlns:vt="http://schemas.openxmlformats.org/officeDocument/2006/docPropsVTypes">
  <Template>CFE742B6</Template>
  <TotalTime>12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 Hopkins</cp:lastModifiedBy>
  <cp:revision>3</cp:revision>
  <cp:lastPrinted>2016-03-08T08:41:00Z</cp:lastPrinted>
  <dcterms:created xsi:type="dcterms:W3CDTF">2016-03-08T08:42:00Z</dcterms:created>
  <dcterms:modified xsi:type="dcterms:W3CDTF">2017-04-11T09:20:00Z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0x01010047589F46163C92458A74EDA55B02A047</vt:lpwstr>
  </property>
  <property fmtid="{D5CDD505-2E9C-101B-9397-08002B2CF9AE}" pid="3" name="Order">
    <vt:r8>25400</vt:r8>
  </property>
</Properties>
</file>